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C" w:rsidRDefault="00F476EC" w:rsidP="00F476EC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：</w:t>
      </w:r>
    </w:p>
    <w:p w:rsidR="00F476EC" w:rsidRDefault="00F476EC" w:rsidP="00F476EC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F476EC" w:rsidRDefault="00F476EC" w:rsidP="00F476EC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sz w:val="44"/>
          <w:szCs w:val="44"/>
        </w:rPr>
        <w:t>年度江苏省优质工程奖扬子杯</w:t>
      </w:r>
    </w:p>
    <w:p w:rsidR="00F476EC" w:rsidRDefault="00F476EC" w:rsidP="00F476EC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申报规模标准（项目要求）</w:t>
      </w:r>
    </w:p>
    <w:p w:rsidR="00F476EC" w:rsidRDefault="00F476EC" w:rsidP="00F476EC">
      <w:pPr>
        <w:spacing w:line="600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32"/>
        </w:rPr>
      </w:pPr>
    </w:p>
    <w:p w:rsidR="00F476EC" w:rsidRPr="00F476EC" w:rsidRDefault="00F476EC" w:rsidP="00F476E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476EC">
        <w:rPr>
          <w:rFonts w:ascii="黑体" w:eastAsia="黑体" w:hAnsi="黑体" w:hint="eastAsia"/>
          <w:sz w:val="32"/>
          <w:szCs w:val="32"/>
        </w:rPr>
        <w:t>一、房屋建筑工程</w:t>
      </w:r>
    </w:p>
    <w:p w:rsidR="00F476EC" w:rsidRDefault="00F476EC" w:rsidP="00F476EC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、公共建筑工程：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除砖混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结构以外的建筑面积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kern w:val="0"/>
          <w:sz w:val="32"/>
          <w:szCs w:val="32"/>
        </w:rPr>
        <w:t>10000</w:t>
      </w:r>
      <w:r>
        <w:rPr>
          <w:rFonts w:ascii="Times New Roman" w:eastAsia="方正仿宋_GBK" w:hAnsi="Times New Roman"/>
          <w:kern w:val="0"/>
          <w:sz w:val="32"/>
          <w:szCs w:val="32"/>
        </w:rPr>
        <w:t>㎡或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kern w:val="0"/>
          <w:sz w:val="32"/>
          <w:szCs w:val="32"/>
        </w:rPr>
        <w:t>层的单体工程，总建筑面积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kern w:val="0"/>
          <w:sz w:val="32"/>
          <w:szCs w:val="32"/>
        </w:rPr>
        <w:t>50000</w:t>
      </w:r>
      <w:r>
        <w:rPr>
          <w:rFonts w:ascii="Times New Roman" w:eastAsia="方正仿宋_GBK" w:hAnsi="Times New Roman"/>
          <w:kern w:val="0"/>
          <w:sz w:val="32"/>
          <w:szCs w:val="32"/>
        </w:rPr>
        <w:t>㎡的群体建筑。</w:t>
      </w:r>
    </w:p>
    <w:p w:rsidR="00F476EC" w:rsidRDefault="00F476EC" w:rsidP="00F476EC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、住宅工程：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除砖混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结构以外的建筑面积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kern w:val="0"/>
          <w:sz w:val="32"/>
          <w:szCs w:val="32"/>
        </w:rPr>
        <w:t>10000</w:t>
      </w:r>
      <w:r>
        <w:rPr>
          <w:rFonts w:ascii="Times New Roman" w:eastAsia="方正仿宋_GBK" w:hAnsi="Times New Roman"/>
          <w:kern w:val="0"/>
          <w:sz w:val="32"/>
          <w:szCs w:val="32"/>
        </w:rPr>
        <w:t>㎡的单体住宅工程，总建筑面积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kern w:val="0"/>
          <w:sz w:val="32"/>
          <w:szCs w:val="32"/>
        </w:rPr>
        <w:t>50000</w:t>
      </w:r>
      <w:r>
        <w:rPr>
          <w:rFonts w:ascii="Times New Roman" w:eastAsia="方正仿宋_GBK" w:hAnsi="Times New Roman"/>
          <w:kern w:val="0"/>
          <w:sz w:val="32"/>
          <w:szCs w:val="32"/>
        </w:rPr>
        <w:t>㎡的住宅小区或组团。入住率在</w:t>
      </w:r>
      <w:r>
        <w:rPr>
          <w:rFonts w:ascii="Times New Roman" w:eastAsia="方正仿宋_GBK" w:hAnsi="Times New Roman"/>
          <w:kern w:val="0"/>
          <w:sz w:val="32"/>
          <w:szCs w:val="32"/>
        </w:rPr>
        <w:t>40%</w:t>
      </w:r>
      <w:r>
        <w:rPr>
          <w:rFonts w:ascii="Times New Roman" w:eastAsia="方正仿宋_GBK" w:hAnsi="Times New Roman"/>
          <w:kern w:val="0"/>
          <w:sz w:val="32"/>
          <w:szCs w:val="32"/>
        </w:rPr>
        <w:t>及以上。</w:t>
      </w:r>
    </w:p>
    <w:p w:rsidR="00F476EC" w:rsidRDefault="00F476EC" w:rsidP="00F476E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、工业建筑工程：建筑面积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sz w:val="32"/>
          <w:szCs w:val="32"/>
        </w:rPr>
        <w:t>10000</w:t>
      </w:r>
      <w:r>
        <w:rPr>
          <w:rFonts w:ascii="Times New Roman" w:eastAsia="方正仿宋_GBK" w:hAnsi="Times New Roman"/>
          <w:sz w:val="32"/>
          <w:szCs w:val="32"/>
        </w:rPr>
        <w:t>㎡或单跨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/>
          <w:sz w:val="32"/>
          <w:szCs w:val="32"/>
        </w:rPr>
        <w:t>米的单体工程，或单位工程造价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sz w:val="32"/>
          <w:szCs w:val="32"/>
        </w:rPr>
        <w:t>8000</w:t>
      </w:r>
      <w:r>
        <w:rPr>
          <w:rFonts w:ascii="Times New Roman" w:eastAsia="方正仿宋_GBK" w:hAnsi="Times New Roman"/>
          <w:sz w:val="32"/>
          <w:szCs w:val="32"/>
        </w:rPr>
        <w:t>万元的建设项目。</w:t>
      </w:r>
    </w:p>
    <w:p w:rsidR="00F476EC" w:rsidRDefault="00F476EC" w:rsidP="00F476E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工程必须包含地基基础、地下室（如有）、安装工程各分部内容，满足使用功能要求。申报工程若采用区域能源供应系统（包括供热系统、供冷系统、生活热水系统、供蒸汽系统、供电系统等）的，需提供相应能源来源说明。</w:t>
      </w:r>
    </w:p>
    <w:p w:rsidR="00F476EC" w:rsidRDefault="00F476EC" w:rsidP="00F476E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参建单位工作量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sz w:val="32"/>
          <w:szCs w:val="32"/>
        </w:rPr>
        <w:t>单位工程造价的</w:t>
      </w:r>
      <w:r>
        <w:rPr>
          <w:rFonts w:ascii="Times New Roman" w:eastAsia="方正仿宋_GBK" w:hAnsi="Times New Roman"/>
          <w:sz w:val="32"/>
          <w:szCs w:val="32"/>
        </w:rPr>
        <w:t>10%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Theme="majorEastAsia" w:eastAsiaTheme="majorEastAsia" w:hAnsiTheme="majorEastAsia"/>
          <w:sz w:val="32"/>
          <w:szCs w:val="32"/>
        </w:rPr>
        <w:t>≥</w:t>
      </w:r>
      <w:r>
        <w:rPr>
          <w:rFonts w:ascii="Times New Roman" w:eastAsia="方正仿宋_GBK" w:hAnsi="Times New Roman"/>
          <w:sz w:val="32"/>
          <w:szCs w:val="32"/>
        </w:rPr>
        <w:t>2000</w:t>
      </w:r>
      <w:r>
        <w:rPr>
          <w:rFonts w:ascii="Times New Roman" w:eastAsia="方正仿宋_GBK" w:hAnsi="Times New Roman"/>
          <w:sz w:val="32"/>
          <w:szCs w:val="32"/>
        </w:rPr>
        <w:t>万元的，均可作为参建单位申报。装饰装修、安装（不含电力安装）、钢结构等三类专业分包达到相应专业工程项目申报条件的，同样可以作为参建单位申报。</w:t>
      </w:r>
    </w:p>
    <w:p w:rsidR="00F476EC" w:rsidRPr="00F476EC" w:rsidRDefault="00F476EC" w:rsidP="00F476EC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476EC">
        <w:rPr>
          <w:rFonts w:ascii="黑体" w:eastAsia="黑体" w:hAnsi="黑体" w:hint="eastAsia"/>
          <w:sz w:val="32"/>
          <w:szCs w:val="32"/>
        </w:rPr>
        <w:t>二、安装专业工程</w:t>
      </w:r>
    </w:p>
    <w:p w:rsidR="00F476EC" w:rsidRDefault="00F476EC" w:rsidP="00F476EC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、公共建筑工程：安装工程量≥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万元的公共建筑工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程中的安装工程。</w:t>
      </w:r>
    </w:p>
    <w:p w:rsidR="00F476EC" w:rsidRDefault="00F476EC" w:rsidP="00F476EC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、住宅工程：单体建筑面积≥</w:t>
      </w:r>
      <w:r>
        <w:rPr>
          <w:rFonts w:ascii="Times New Roman" w:eastAsia="方正仿宋_GBK" w:hAnsi="Times New Roman" w:hint="eastAsia"/>
          <w:sz w:val="32"/>
          <w:szCs w:val="32"/>
        </w:rPr>
        <w:t>30000</w:t>
      </w:r>
      <w:r>
        <w:rPr>
          <w:rFonts w:ascii="Times New Roman" w:eastAsia="方正仿宋_GBK" w:hAnsi="Times New Roman" w:hint="eastAsia"/>
          <w:sz w:val="32"/>
          <w:szCs w:val="32"/>
        </w:rPr>
        <w:t>㎡的住宅工程或建筑面积≥</w:t>
      </w:r>
      <w:r>
        <w:rPr>
          <w:rFonts w:ascii="Times New Roman" w:eastAsia="方正仿宋_GBK" w:hAnsi="Times New Roman" w:hint="eastAsia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sz w:val="32"/>
          <w:szCs w:val="32"/>
        </w:rPr>
        <w:t>㎡的住宅小区中工程造价≥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万元的安装工程。住宅及住宅小区安装工程应包括给排水、配电房、建筑电气或电梯等全部配套安装工程，且功能基本齐全。</w:t>
      </w:r>
    </w:p>
    <w:p w:rsidR="00F476EC" w:rsidRDefault="00F476EC" w:rsidP="00F476EC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、消防设施安装工程：建筑面积≥</w:t>
      </w:r>
      <w:r>
        <w:rPr>
          <w:rFonts w:ascii="Times New Roman" w:eastAsia="方正仿宋_GBK" w:hAnsi="Times New Roman" w:hint="eastAsia"/>
          <w:sz w:val="32"/>
          <w:szCs w:val="32"/>
        </w:rPr>
        <w:t>100000</w:t>
      </w:r>
      <w:r>
        <w:rPr>
          <w:rFonts w:ascii="Times New Roman" w:eastAsia="方正仿宋_GBK" w:hAnsi="Times New Roman" w:hint="eastAsia"/>
          <w:sz w:val="32"/>
          <w:szCs w:val="32"/>
        </w:rPr>
        <w:t>㎡的住宅工程；建筑面积≥</w:t>
      </w:r>
      <w:r>
        <w:rPr>
          <w:rFonts w:ascii="Times New Roman" w:eastAsia="方正仿宋_GBK" w:hAnsi="Times New Roman" w:hint="eastAsia"/>
          <w:sz w:val="32"/>
          <w:szCs w:val="32"/>
        </w:rPr>
        <w:t>38000</w:t>
      </w:r>
      <w:r>
        <w:rPr>
          <w:rFonts w:ascii="Times New Roman" w:eastAsia="方正仿宋_GBK" w:hAnsi="Times New Roman" w:hint="eastAsia"/>
          <w:sz w:val="32"/>
          <w:szCs w:val="32"/>
        </w:rPr>
        <w:t>㎡的公共建筑工程；或单项施工合同造价≥</w:t>
      </w:r>
      <w:r>
        <w:rPr>
          <w:rFonts w:ascii="Times New Roman" w:eastAsia="方正仿宋_GBK" w:hAnsi="Times New Roman" w:hint="eastAsia"/>
          <w:sz w:val="32"/>
          <w:szCs w:val="32"/>
        </w:rPr>
        <w:t>800</w:t>
      </w:r>
      <w:r>
        <w:rPr>
          <w:rFonts w:ascii="Times New Roman" w:eastAsia="方正仿宋_GBK" w:hAnsi="Times New Roman" w:hint="eastAsia"/>
          <w:sz w:val="32"/>
          <w:szCs w:val="32"/>
        </w:rPr>
        <w:t>万元的消防安装工程。消防系统工程应具备相对独立的整体性，同时具备不少于火灾自动报警及联动控制系统、自动喷水灭火系统、水喷雾灭火系统、气体灭火系统、泡沫灭火系统、干粉灭火系统、防排烟系统、应急照明系统、大空间自动灭火跟踪系统等系统中的三个子系统以上（其中必须具备火灾自动报警及联动控制系统）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、电子智能化安装工程：智能化安装工程单项合同工程造价≥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万元，同时具备不少于：（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）综合布线及计算机网络系统工程；（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）设备监控系统工程；（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）安全防范系统工程；（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）通信系统工程；（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）灯光音响广播会议系统工程；（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）智能卡系统工程；（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）车库管理系统工程；（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8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）物业管理综合信息系统工程；（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）卫星及共用电视系统工程；（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）信息显示发布系统工程；（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）智能化系统机房工程；（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）智能化系统集成工程；（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）舞台设施系统工程等系统中的五个子系统（独立单个子系统或者每个子系统中单项工程不作为优质工程评比）。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、环保工程：单池容积</w:t>
      </w:r>
      <w:r>
        <w:rPr>
          <w:rFonts w:ascii="Times New Roman" w:eastAsia="方正仿宋_GBK" w:hAnsi="Times New Roman" w:hint="eastAsia"/>
          <w:sz w:val="32"/>
          <w:szCs w:val="32"/>
        </w:rPr>
        <w:t>400</w:t>
      </w:r>
      <w:r>
        <w:rPr>
          <w:rFonts w:ascii="Times New Roman" w:eastAsia="方正仿宋_GBK" w:hAnsi="Times New Roman" w:hint="eastAsia"/>
          <w:sz w:val="32"/>
          <w:szCs w:val="32"/>
        </w:rPr>
        <w:t>立方米及以上厌氧生化处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理池工程；一等甲级及以上等级医院医疗污水处理工程。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、电力安装工程：</w:t>
      </w:r>
      <w:r>
        <w:rPr>
          <w:rFonts w:ascii="Times New Roman" w:eastAsia="方正仿宋_GBK" w:hAnsi="Times New Roman" w:hint="eastAsia"/>
          <w:sz w:val="32"/>
          <w:szCs w:val="32"/>
        </w:rPr>
        <w:t>110</w:t>
      </w:r>
      <w:r>
        <w:rPr>
          <w:rFonts w:ascii="Times New Roman" w:eastAsia="方正仿宋_GBK" w:hAnsi="Times New Roman" w:hint="eastAsia"/>
          <w:sz w:val="32"/>
          <w:szCs w:val="32"/>
        </w:rPr>
        <w:t>千伏及以上电压等级的送电线路（线路长度</w:t>
      </w:r>
      <w:r>
        <w:rPr>
          <w:rFonts w:ascii="Times New Roman" w:eastAsia="方正仿宋_GBK" w:hAnsi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千米及以上）和</w:t>
      </w:r>
      <w:r>
        <w:rPr>
          <w:rFonts w:ascii="Times New Roman" w:eastAsia="方正仿宋_GBK" w:hAnsi="Times New Roman" w:hint="eastAsia"/>
          <w:sz w:val="32"/>
          <w:szCs w:val="32"/>
        </w:rPr>
        <w:t>110</w:t>
      </w:r>
      <w:r>
        <w:rPr>
          <w:rFonts w:ascii="Times New Roman" w:eastAsia="方正仿宋_GBK" w:hAnsi="Times New Roman" w:hint="eastAsia"/>
          <w:sz w:val="32"/>
          <w:szCs w:val="32"/>
        </w:rPr>
        <w:t>千伏及以上等级的变电站工程。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、空调制冷安装工程：工程造价≥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万元，且具备完整使用功能的安装工程。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申报工程所含内容必须与施工合同范围一致。</w:t>
      </w:r>
    </w:p>
    <w:p w:rsidR="00F476EC" w:rsidRPr="00F476EC" w:rsidRDefault="00F476EC" w:rsidP="00F476EC">
      <w:pPr>
        <w:spacing w:line="57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476EC">
        <w:rPr>
          <w:rFonts w:ascii="黑体" w:eastAsia="黑体" w:hAnsi="黑体" w:hint="eastAsia"/>
          <w:sz w:val="32"/>
          <w:szCs w:val="32"/>
        </w:rPr>
        <w:t>三、钢结构专业工程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、单项钢结构工程的制作或安装用钢量≥</w:t>
      </w:r>
      <w:r>
        <w:rPr>
          <w:rFonts w:ascii="Times New Roman" w:eastAsia="方正仿宋_GBK" w:hAnsi="Times New Roman" w:hint="eastAsia"/>
          <w:sz w:val="32"/>
          <w:szCs w:val="32"/>
        </w:rPr>
        <w:t>1500</w:t>
      </w:r>
      <w:r>
        <w:rPr>
          <w:rFonts w:ascii="Times New Roman" w:eastAsia="方正仿宋_GBK" w:hAnsi="Times New Roman" w:hint="eastAsia"/>
          <w:sz w:val="32"/>
          <w:szCs w:val="32"/>
        </w:rPr>
        <w:t>吨，或建筑面积≥</w:t>
      </w:r>
      <w:r>
        <w:rPr>
          <w:rFonts w:ascii="Times New Roman" w:eastAsia="方正仿宋_GBK" w:hAnsi="Times New Roman" w:hint="eastAsia"/>
          <w:sz w:val="32"/>
          <w:szCs w:val="32"/>
        </w:rPr>
        <w:t>1.2</w:t>
      </w:r>
      <w:r>
        <w:rPr>
          <w:rFonts w:ascii="Times New Roman" w:eastAsia="方正仿宋_GBK" w:hAnsi="Times New Roman" w:hint="eastAsia"/>
          <w:sz w:val="32"/>
          <w:szCs w:val="32"/>
        </w:rPr>
        <w:t>万㎡。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、大型空间钢结构工程，建筑面积≥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5000 </w:t>
      </w:r>
      <w:r>
        <w:rPr>
          <w:rFonts w:ascii="Times New Roman" w:eastAsia="方正仿宋_GBK" w:hAnsi="Times New Roman" w:hint="eastAsia"/>
          <w:sz w:val="32"/>
          <w:szCs w:val="32"/>
        </w:rPr>
        <w:t>㎡。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、网架、网壳等空间结构工程，单跨跨度≥</w:t>
      </w:r>
      <w:r>
        <w:rPr>
          <w:rFonts w:ascii="Times New Roman" w:eastAsia="方正仿宋_GBK" w:hAnsi="Times New Roman" w:hint="eastAsia"/>
          <w:sz w:val="32"/>
          <w:szCs w:val="32"/>
        </w:rPr>
        <w:t>50m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、单体建筑面积≥</w:t>
      </w:r>
      <w:r>
        <w:rPr>
          <w:rFonts w:ascii="Times New Roman" w:eastAsia="方正仿宋_GBK" w:hAnsi="Times New Roman" w:hint="eastAsia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z w:val="32"/>
          <w:szCs w:val="32"/>
        </w:rPr>
        <w:t>㎡的钢结构住宅或公共建筑。</w:t>
      </w:r>
    </w:p>
    <w:p w:rsidR="00F476EC" w:rsidRDefault="00F476EC" w:rsidP="00F476E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、规模较小，但科技含量高，有创新，有特色的其他钢结构工程。</w:t>
      </w:r>
    </w:p>
    <w:p w:rsidR="009357F8" w:rsidRDefault="00F476EC">
      <w:bookmarkStart w:id="0" w:name="_GoBack"/>
      <w:bookmarkEnd w:id="0"/>
      <w:r>
        <w:rPr>
          <w:rFonts w:ascii="Times New Roman" w:eastAsia="方正黑体_GBK" w:hAnsi="Times New Roman" w:hint="eastAsia"/>
          <w:sz w:val="32"/>
          <w:szCs w:val="32"/>
        </w:rPr>
        <w:t>:</w:t>
      </w:r>
    </w:p>
    <w:sectPr w:rsidR="009357F8" w:rsidSect="0093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ED" w:rsidRDefault="00CB29ED" w:rsidP="00FD22C5">
      <w:r>
        <w:separator/>
      </w:r>
    </w:p>
  </w:endnote>
  <w:endnote w:type="continuationSeparator" w:id="0">
    <w:p w:rsidR="00CB29ED" w:rsidRDefault="00CB29ED" w:rsidP="00FD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ED" w:rsidRDefault="00CB29ED" w:rsidP="00FD22C5">
      <w:r>
        <w:separator/>
      </w:r>
    </w:p>
  </w:footnote>
  <w:footnote w:type="continuationSeparator" w:id="0">
    <w:p w:rsidR="00CB29ED" w:rsidRDefault="00CB29ED" w:rsidP="00FD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3ZDhmNjM1YjQwYzUyODAxYmY2NGFlOGQyMDEwN2IifQ=="/>
  </w:docVars>
  <w:rsids>
    <w:rsidRoot w:val="6FC65850"/>
    <w:rsid w:val="00401D2A"/>
    <w:rsid w:val="009357F8"/>
    <w:rsid w:val="009E30D6"/>
    <w:rsid w:val="00CB29ED"/>
    <w:rsid w:val="00F476EC"/>
    <w:rsid w:val="00FD22C5"/>
    <w:rsid w:val="6FC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22C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D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22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lenovo</cp:lastModifiedBy>
  <cp:revision>2</cp:revision>
  <dcterms:created xsi:type="dcterms:W3CDTF">2023-12-04T07:29:00Z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1A0B3B6D77A74A26A620554B1A9A572D</vt:lpwstr>
  </property>
</Properties>
</file>